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D5" w:rsidRPr="00D569B1" w:rsidRDefault="008574D5" w:rsidP="008574D5">
      <w:pPr>
        <w:pStyle w:val="Titre"/>
        <w:adjustRightInd w:val="0"/>
        <w:rPr>
          <w:lang w:val="fr-FR"/>
        </w:rPr>
      </w:pPr>
      <w:r w:rsidRPr="00D569B1">
        <w:rPr>
          <w:lang w:val="fr-FR"/>
        </w:rPr>
        <w:t>Avis d’Appel d’offres (</w:t>
      </w:r>
      <w:r>
        <w:rPr>
          <w:lang w:val="fr-FR"/>
        </w:rPr>
        <w:t>AON</w:t>
      </w:r>
      <w:r w:rsidRPr="00D569B1">
        <w:rPr>
          <w:lang w:val="fr-FR"/>
        </w:rPr>
        <w:t>)</w:t>
      </w:r>
    </w:p>
    <w:p w:rsidR="008574D5" w:rsidRDefault="008574D5" w:rsidP="008574D5">
      <w:pPr>
        <w:spacing w:before="160"/>
        <w:jc w:val="center"/>
        <w:rPr>
          <w:i/>
          <w:iCs/>
          <w:sz w:val="20"/>
        </w:rPr>
      </w:pPr>
      <w:r>
        <w:rPr>
          <w:i/>
          <w:iCs/>
          <w:sz w:val="20"/>
        </w:rPr>
        <w:t>République Tunisienne</w:t>
      </w:r>
    </w:p>
    <w:p w:rsidR="008574D5" w:rsidRPr="00E20609" w:rsidRDefault="008574D5" w:rsidP="008574D5">
      <w:pPr>
        <w:spacing w:before="160"/>
        <w:jc w:val="center"/>
        <w:rPr>
          <w:i/>
          <w:iCs/>
          <w:sz w:val="20"/>
        </w:rPr>
      </w:pPr>
      <w:r w:rsidRPr="00E20609">
        <w:rPr>
          <w:i/>
          <w:iCs/>
          <w:sz w:val="20"/>
        </w:rPr>
        <w:t xml:space="preserve"> Ministère de l’Enseignement Supérieur et de la Recherche Scientifique</w:t>
      </w:r>
    </w:p>
    <w:p w:rsidR="008574D5" w:rsidRPr="00E20609" w:rsidRDefault="008574D5" w:rsidP="008574D5">
      <w:pPr>
        <w:jc w:val="center"/>
        <w:rPr>
          <w:i/>
          <w:iCs/>
          <w:sz w:val="20"/>
        </w:rPr>
      </w:pPr>
      <w:r w:rsidRPr="00E20609">
        <w:rPr>
          <w:i/>
          <w:iCs/>
          <w:sz w:val="20"/>
        </w:rPr>
        <w:t xml:space="preserve">         Université de Gabès            </w:t>
      </w:r>
    </w:p>
    <w:p w:rsidR="008574D5" w:rsidRDefault="008574D5" w:rsidP="008574D5">
      <w:pPr>
        <w:jc w:val="center"/>
        <w:rPr>
          <w:i/>
          <w:iCs/>
          <w:sz w:val="20"/>
        </w:rPr>
      </w:pPr>
      <w:r w:rsidRPr="00E20609">
        <w:rPr>
          <w:i/>
          <w:iCs/>
          <w:sz w:val="20"/>
        </w:rPr>
        <w:t xml:space="preserve">          Institut Supérieur des Sciences Appliquées et de Technologie</w:t>
      </w:r>
      <w:r>
        <w:rPr>
          <w:i/>
          <w:iCs/>
          <w:sz w:val="20"/>
        </w:rPr>
        <w:t xml:space="preserve"> de Gabès</w:t>
      </w:r>
    </w:p>
    <w:p w:rsidR="008574D5" w:rsidRPr="007E1802" w:rsidRDefault="008574D5" w:rsidP="008574D5">
      <w:pPr>
        <w:jc w:val="center"/>
        <w:rPr>
          <w:i/>
          <w:iCs/>
          <w:sz w:val="16"/>
          <w:szCs w:val="16"/>
        </w:rPr>
      </w:pPr>
    </w:p>
    <w:p w:rsidR="008574D5" w:rsidRPr="00256E59" w:rsidRDefault="008574D5" w:rsidP="008574D5">
      <w:pPr>
        <w:jc w:val="center"/>
        <w:rPr>
          <w:b/>
          <w:bCs/>
          <w:sz w:val="20"/>
        </w:rPr>
      </w:pPr>
      <w:r w:rsidRPr="00256E59">
        <w:rPr>
          <w:b/>
          <w:bCs/>
          <w:sz w:val="20"/>
        </w:rPr>
        <w:t>Projet d’appui à la qualité de l’enseignement supérieur (PAQ)</w:t>
      </w:r>
    </w:p>
    <w:p w:rsidR="008574D5" w:rsidRPr="00256E59" w:rsidRDefault="008574D5" w:rsidP="008574D5">
      <w:pPr>
        <w:jc w:val="center"/>
        <w:rPr>
          <w:b/>
          <w:bCs/>
          <w:sz w:val="20"/>
        </w:rPr>
      </w:pPr>
      <w:r w:rsidRPr="00256E59">
        <w:rPr>
          <w:b/>
          <w:bCs/>
          <w:sz w:val="20"/>
        </w:rPr>
        <w:t>Prêt BIRD N°7392-TN</w:t>
      </w:r>
    </w:p>
    <w:p w:rsidR="008574D5" w:rsidRPr="007E1802" w:rsidRDefault="008574D5" w:rsidP="008574D5">
      <w:pPr>
        <w:jc w:val="center"/>
        <w:rPr>
          <w:b/>
          <w:bCs/>
          <w:sz w:val="16"/>
          <w:szCs w:val="16"/>
        </w:rPr>
      </w:pPr>
    </w:p>
    <w:p w:rsidR="008574D5" w:rsidRPr="00256E59" w:rsidRDefault="008574D5" w:rsidP="008574D5">
      <w:pPr>
        <w:jc w:val="center"/>
        <w:rPr>
          <w:b/>
          <w:bCs/>
          <w:sz w:val="20"/>
        </w:rPr>
      </w:pPr>
      <w:r w:rsidRPr="00256E59">
        <w:rPr>
          <w:b/>
          <w:bCs/>
          <w:sz w:val="20"/>
        </w:rPr>
        <w:t>Appel d’offres national N° 01/2014 pour l’acquisition de matériel</w:t>
      </w:r>
    </w:p>
    <w:p w:rsidR="008574D5" w:rsidRPr="00256E59" w:rsidRDefault="008574D5" w:rsidP="008574D5">
      <w:pPr>
        <w:tabs>
          <w:tab w:val="left" w:pos="1134"/>
        </w:tabs>
        <w:adjustRightInd w:val="0"/>
        <w:ind w:left="1134" w:right="356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</w:t>
      </w:r>
      <w:proofErr w:type="gramStart"/>
      <w:r w:rsidRPr="00256E59">
        <w:rPr>
          <w:b/>
          <w:bCs/>
          <w:sz w:val="20"/>
        </w:rPr>
        <w:t>de</w:t>
      </w:r>
      <w:proofErr w:type="gramEnd"/>
      <w:r w:rsidRPr="00256E59">
        <w:rPr>
          <w:b/>
          <w:bCs/>
          <w:sz w:val="20"/>
        </w:rPr>
        <w:t xml:space="preserve"> TP, </w:t>
      </w:r>
      <w:r>
        <w:rPr>
          <w:b/>
          <w:bCs/>
          <w:sz w:val="20"/>
        </w:rPr>
        <w:t>d’énergétique</w:t>
      </w:r>
      <w:r w:rsidRPr="00256E59">
        <w:rPr>
          <w:b/>
          <w:bCs/>
          <w:sz w:val="20"/>
        </w:rPr>
        <w:t xml:space="preserve"> et d’informatique</w:t>
      </w:r>
      <w:r w:rsidRPr="00C64AA6">
        <w:rPr>
          <w:b/>
          <w:bCs/>
          <w:sz w:val="20"/>
        </w:rPr>
        <w:t xml:space="preserve"> </w:t>
      </w:r>
      <w:r w:rsidRPr="00256E59">
        <w:rPr>
          <w:b/>
          <w:bCs/>
          <w:sz w:val="20"/>
        </w:rPr>
        <w:t xml:space="preserve">et audiovisuel </w:t>
      </w:r>
    </w:p>
    <w:p w:rsidR="008574D5" w:rsidRPr="00256E59" w:rsidRDefault="008574D5" w:rsidP="008574D5">
      <w:pPr>
        <w:tabs>
          <w:tab w:val="left" w:pos="1134"/>
        </w:tabs>
        <w:adjustRightInd w:val="0"/>
        <w:ind w:left="1134" w:right="356"/>
        <w:rPr>
          <w:b/>
          <w:bCs/>
          <w:sz w:val="20"/>
        </w:rPr>
      </w:pPr>
      <w:r w:rsidRPr="00256E59">
        <w:rPr>
          <w:b/>
          <w:bCs/>
          <w:sz w:val="20"/>
        </w:rPr>
        <w:t xml:space="preserve"> </w:t>
      </w:r>
    </w:p>
    <w:p w:rsidR="008574D5" w:rsidRDefault="008574D5" w:rsidP="008574D5">
      <w:pPr>
        <w:jc w:val="center"/>
        <w:rPr>
          <w:i/>
          <w:iCs/>
          <w:szCs w:val="24"/>
        </w:rPr>
      </w:pPr>
      <w:r w:rsidRPr="004A252B">
        <w:rPr>
          <w:szCs w:val="24"/>
        </w:rPr>
        <w:t>Au profit d’Institut</w:t>
      </w:r>
      <w:r w:rsidRPr="004A252B">
        <w:rPr>
          <w:i/>
          <w:iCs/>
          <w:szCs w:val="24"/>
        </w:rPr>
        <w:t> Supérieur des Sciences Appliquées et de Technologie de Gabès</w:t>
      </w:r>
    </w:p>
    <w:p w:rsidR="008574D5" w:rsidRPr="007E1802" w:rsidRDefault="008574D5" w:rsidP="008574D5">
      <w:pPr>
        <w:jc w:val="center"/>
        <w:rPr>
          <w:i/>
          <w:iCs/>
          <w:sz w:val="16"/>
          <w:szCs w:val="16"/>
        </w:rPr>
      </w:pPr>
    </w:p>
    <w:p w:rsidR="008574D5" w:rsidRPr="00782908" w:rsidRDefault="008574D5" w:rsidP="008574D5">
      <w:pPr>
        <w:tabs>
          <w:tab w:val="left" w:pos="0"/>
          <w:tab w:val="left" w:pos="142"/>
        </w:tabs>
        <w:adjustRightInd w:val="0"/>
        <w:ind w:left="142" w:right="356"/>
        <w:rPr>
          <w:sz w:val="20"/>
        </w:rPr>
      </w:pPr>
      <w:r w:rsidRPr="00782908">
        <w:rPr>
          <w:sz w:val="20"/>
        </w:rPr>
        <w:t>1.</w:t>
      </w:r>
      <w:r w:rsidRPr="00782908">
        <w:rPr>
          <w:b/>
          <w:bCs/>
          <w:sz w:val="20"/>
        </w:rPr>
        <w:t xml:space="preserve">  </w:t>
      </w:r>
      <w:r w:rsidRPr="00782908">
        <w:rPr>
          <w:sz w:val="20"/>
        </w:rPr>
        <w:t xml:space="preserve">Le ministère de l’enseignement supérieur et de la recherche scientifique a reçu un prêt de la Banque Internationale pour la Reconstruction et le Développement pour financer le projet d’appui à la qualité de l’enseignement supérieur, et à l’intention d’utiliser une partie de ce prêt pour effectuer des paiements au titre du Marché </w:t>
      </w:r>
      <w:r w:rsidRPr="00782908">
        <w:rPr>
          <w:b/>
          <w:bCs/>
          <w:sz w:val="20"/>
        </w:rPr>
        <w:t xml:space="preserve">PAQ/ISSATGB  N° 01/2014 </w:t>
      </w:r>
      <w:r w:rsidRPr="00782908">
        <w:rPr>
          <w:sz w:val="20"/>
        </w:rPr>
        <w:t>pour l’acquisition de matériel</w:t>
      </w:r>
      <w:r w:rsidRPr="00782908">
        <w:rPr>
          <w:color w:val="FF0000"/>
          <w:sz w:val="20"/>
        </w:rPr>
        <w:t xml:space="preserve"> </w:t>
      </w:r>
      <w:r w:rsidRPr="00782908">
        <w:rPr>
          <w:sz w:val="20"/>
        </w:rPr>
        <w:t xml:space="preserve">de TP, </w:t>
      </w:r>
      <w:r>
        <w:rPr>
          <w:sz w:val="20"/>
        </w:rPr>
        <w:t>d’énergétique</w:t>
      </w:r>
      <w:r w:rsidRPr="00782908">
        <w:rPr>
          <w:sz w:val="20"/>
        </w:rPr>
        <w:t xml:space="preserve"> et d’informatique et audiovisuel</w:t>
      </w:r>
    </w:p>
    <w:p w:rsidR="008574D5" w:rsidRPr="007E1802" w:rsidRDefault="008574D5" w:rsidP="008574D5">
      <w:pPr>
        <w:tabs>
          <w:tab w:val="left" w:pos="1134"/>
        </w:tabs>
        <w:adjustRightInd w:val="0"/>
        <w:ind w:left="1134" w:right="356"/>
        <w:rPr>
          <w:sz w:val="16"/>
          <w:szCs w:val="16"/>
        </w:rPr>
      </w:pPr>
    </w:p>
    <w:p w:rsidR="008574D5" w:rsidRPr="00782908" w:rsidRDefault="008574D5" w:rsidP="008574D5">
      <w:pPr>
        <w:spacing w:after="200"/>
        <w:ind w:left="142"/>
        <w:jc w:val="both"/>
        <w:rPr>
          <w:sz w:val="20"/>
        </w:rPr>
      </w:pPr>
      <w:r w:rsidRPr="00782908">
        <w:rPr>
          <w:sz w:val="20"/>
        </w:rPr>
        <w:t xml:space="preserve">2. Le ministère de l’enseignement supérieur et de la recherche scientifique représenté par l’institut </w:t>
      </w:r>
      <w:r w:rsidRPr="00782908">
        <w:rPr>
          <w:i/>
          <w:iCs/>
          <w:sz w:val="20"/>
        </w:rPr>
        <w:t>Supérieur des Sciences Appliquées et de Technologie de Gabès,</w:t>
      </w:r>
      <w:r w:rsidRPr="00782908">
        <w:rPr>
          <w:sz w:val="20"/>
        </w:rPr>
        <w:t xml:space="preserve"> sollicite des offres fermées de la part de soumissionnaires éligibles et répondant aux qualifications requises pour fournir les équipements en question tels qu’ils sont consignés dans le tableau suivant :</w:t>
      </w:r>
    </w:p>
    <w:p w:rsidR="008574D5" w:rsidRDefault="008574D5" w:rsidP="008574D5">
      <w:pPr>
        <w:rPr>
          <w:rFonts w:ascii="Arial" w:hAnsi="Arial" w:cs="Arial"/>
          <w:b/>
          <w:bCs/>
          <w:sz w:val="28"/>
          <w:szCs w:val="28"/>
        </w:rPr>
      </w:pPr>
      <w:r w:rsidRPr="00F66152">
        <w:rPr>
          <w:b/>
          <w:bCs/>
        </w:rPr>
        <w:t xml:space="preserve">Lot 1 : </w:t>
      </w:r>
      <w:r w:rsidRPr="00B75504">
        <w:rPr>
          <w:b/>
          <w:bCs/>
          <w:szCs w:val="24"/>
        </w:rPr>
        <w:t>MATERIEL DE TP D’ENERGETIQUE</w:t>
      </w:r>
    </w:p>
    <w:p w:rsidR="008574D5" w:rsidRPr="004D6E6E" w:rsidRDefault="008574D5" w:rsidP="008574D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4147"/>
        <w:gridCol w:w="1134"/>
        <w:gridCol w:w="1984"/>
      </w:tblGrid>
      <w:tr w:rsidR="008574D5" w:rsidRPr="00C40526" w:rsidTr="00B234BA">
        <w:trPr>
          <w:jc w:val="center"/>
        </w:trPr>
        <w:tc>
          <w:tcPr>
            <w:tcW w:w="923" w:type="dxa"/>
            <w:shd w:val="clear" w:color="auto" w:fill="auto"/>
            <w:vAlign w:val="center"/>
          </w:tcPr>
          <w:p w:rsidR="008574D5" w:rsidRPr="00410AFC" w:rsidRDefault="008574D5" w:rsidP="00B234BA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iCs/>
                <w:szCs w:val="22"/>
              </w:rPr>
            </w:pPr>
            <w:r w:rsidRPr="00410AFC">
              <w:rPr>
                <w:i/>
                <w:iCs/>
                <w:sz w:val="22"/>
                <w:szCs w:val="22"/>
              </w:rPr>
              <w:t>Article</w:t>
            </w:r>
          </w:p>
        </w:tc>
        <w:tc>
          <w:tcPr>
            <w:tcW w:w="4147" w:type="dxa"/>
            <w:shd w:val="clear" w:color="auto" w:fill="auto"/>
            <w:vAlign w:val="center"/>
          </w:tcPr>
          <w:p w:rsidR="008574D5" w:rsidRPr="00410AFC" w:rsidRDefault="008574D5" w:rsidP="00B234BA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iCs/>
                <w:szCs w:val="22"/>
              </w:rPr>
            </w:pPr>
            <w:r w:rsidRPr="00410AFC">
              <w:rPr>
                <w:i/>
                <w:iCs/>
                <w:sz w:val="22"/>
                <w:szCs w:val="22"/>
              </w:rPr>
              <w:t>Désignation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4D5" w:rsidRPr="00410AFC" w:rsidRDefault="008574D5" w:rsidP="00B234BA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iCs/>
                <w:szCs w:val="22"/>
              </w:rPr>
            </w:pPr>
            <w:r w:rsidRPr="00410AFC">
              <w:rPr>
                <w:i/>
                <w:iCs/>
                <w:sz w:val="22"/>
                <w:szCs w:val="22"/>
              </w:rPr>
              <w:t>Quantité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74D5" w:rsidRPr="00410AFC" w:rsidRDefault="008574D5" w:rsidP="00B234BA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i/>
                <w:iCs/>
                <w:szCs w:val="22"/>
              </w:rPr>
            </w:pPr>
            <w:r w:rsidRPr="00410AFC">
              <w:rPr>
                <w:i/>
                <w:iCs/>
                <w:sz w:val="22"/>
                <w:szCs w:val="22"/>
              </w:rPr>
              <w:t>Montant de la caution provisoire [Dinars]</w:t>
            </w:r>
          </w:p>
        </w:tc>
      </w:tr>
      <w:tr w:rsidR="008574D5" w:rsidRPr="00C40526" w:rsidTr="00B234BA">
        <w:trPr>
          <w:jc w:val="center"/>
        </w:trPr>
        <w:tc>
          <w:tcPr>
            <w:tcW w:w="923" w:type="dxa"/>
          </w:tcPr>
          <w:p w:rsidR="008574D5" w:rsidRPr="00F66152" w:rsidRDefault="008574D5" w:rsidP="00B234BA">
            <w:pPr>
              <w:autoSpaceDE w:val="0"/>
              <w:autoSpaceDN w:val="0"/>
              <w:adjustRightInd w:val="0"/>
              <w:spacing w:before="60" w:after="60"/>
              <w:jc w:val="center"/>
              <w:outlineLvl w:val="0"/>
              <w:rPr>
                <w:i/>
                <w:iCs/>
                <w:szCs w:val="24"/>
              </w:rPr>
            </w:pPr>
            <w:r w:rsidRPr="00F66152">
              <w:rPr>
                <w:i/>
                <w:iCs/>
                <w:szCs w:val="24"/>
              </w:rPr>
              <w:t>01</w:t>
            </w:r>
          </w:p>
        </w:tc>
        <w:tc>
          <w:tcPr>
            <w:tcW w:w="4147" w:type="dxa"/>
          </w:tcPr>
          <w:p w:rsidR="008574D5" w:rsidRPr="00F66152" w:rsidRDefault="008574D5" w:rsidP="00B234BA">
            <w:pPr>
              <w:spacing w:after="160"/>
              <w:textAlignment w:val="baseline"/>
              <w:rPr>
                <w:szCs w:val="24"/>
              </w:rPr>
            </w:pPr>
            <w:r w:rsidRPr="00F66152">
              <w:rPr>
                <w:szCs w:val="24"/>
              </w:rPr>
              <w:t>Banc d’étude d’énergie solaire photovoltaïque et éolienne en site isolé</w:t>
            </w:r>
          </w:p>
        </w:tc>
        <w:tc>
          <w:tcPr>
            <w:tcW w:w="1134" w:type="dxa"/>
          </w:tcPr>
          <w:p w:rsidR="008574D5" w:rsidRPr="00F66152" w:rsidRDefault="003D4025" w:rsidP="00B234BA">
            <w:pPr>
              <w:autoSpaceDE w:val="0"/>
              <w:autoSpaceDN w:val="0"/>
              <w:adjustRightInd w:val="0"/>
              <w:spacing w:before="60" w:after="60"/>
              <w:jc w:val="center"/>
              <w:outlineLvl w:val="0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01</w:t>
            </w:r>
          </w:p>
        </w:tc>
        <w:tc>
          <w:tcPr>
            <w:tcW w:w="1984" w:type="dxa"/>
          </w:tcPr>
          <w:p w:rsidR="008574D5" w:rsidRPr="006B6A00" w:rsidRDefault="008574D5" w:rsidP="00B234BA">
            <w:pPr>
              <w:autoSpaceDE w:val="0"/>
              <w:autoSpaceDN w:val="0"/>
              <w:adjustRightInd w:val="0"/>
              <w:spacing w:before="60" w:after="60"/>
              <w:jc w:val="center"/>
              <w:outlineLvl w:val="0"/>
              <w:rPr>
                <w:bCs/>
                <w:i/>
                <w:iCs/>
                <w:szCs w:val="24"/>
              </w:rPr>
            </w:pPr>
            <w:r w:rsidRPr="006B6A00">
              <w:rPr>
                <w:bCs/>
                <w:i/>
                <w:iCs/>
                <w:szCs w:val="24"/>
              </w:rPr>
              <w:t>1100 DT</w:t>
            </w:r>
          </w:p>
        </w:tc>
      </w:tr>
    </w:tbl>
    <w:p w:rsidR="008574D5" w:rsidRPr="00F66152" w:rsidRDefault="008574D5" w:rsidP="008574D5">
      <w:pPr>
        <w:spacing w:after="200"/>
        <w:jc w:val="both"/>
        <w:rPr>
          <w:b/>
          <w:bCs/>
          <w:sz w:val="4"/>
          <w:szCs w:val="4"/>
        </w:rPr>
      </w:pPr>
    </w:p>
    <w:p w:rsidR="008574D5" w:rsidRPr="00F66152" w:rsidRDefault="008574D5" w:rsidP="008574D5">
      <w:pPr>
        <w:spacing w:after="200"/>
        <w:jc w:val="both"/>
        <w:rPr>
          <w:b/>
          <w:bCs/>
        </w:rPr>
      </w:pPr>
      <w:r w:rsidRPr="00F66152">
        <w:rPr>
          <w:b/>
          <w:bCs/>
        </w:rPr>
        <w:t xml:space="preserve">Lot </w:t>
      </w:r>
      <w:r>
        <w:rPr>
          <w:b/>
          <w:bCs/>
        </w:rPr>
        <w:t>2</w:t>
      </w:r>
      <w:r w:rsidRPr="00F66152">
        <w:rPr>
          <w:b/>
          <w:bCs/>
        </w:rPr>
        <w:t xml:space="preserve"> : </w:t>
      </w:r>
      <w:r w:rsidRPr="00B75504">
        <w:rPr>
          <w:b/>
          <w:bCs/>
          <w:szCs w:val="24"/>
        </w:rPr>
        <w:t>MATERIEL D’INFORMATIQUE ET AUDIOVISUEL</w:t>
      </w:r>
    </w:p>
    <w:p w:rsidR="008574D5" w:rsidRPr="00F66152" w:rsidRDefault="008574D5" w:rsidP="008574D5">
      <w:pPr>
        <w:rPr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4147"/>
        <w:gridCol w:w="1134"/>
        <w:gridCol w:w="1984"/>
      </w:tblGrid>
      <w:tr w:rsidR="008574D5" w:rsidRPr="00C40526" w:rsidTr="00B234BA">
        <w:trPr>
          <w:jc w:val="center"/>
        </w:trPr>
        <w:tc>
          <w:tcPr>
            <w:tcW w:w="923" w:type="dxa"/>
            <w:vAlign w:val="center"/>
          </w:tcPr>
          <w:p w:rsidR="008574D5" w:rsidRPr="00410AFC" w:rsidRDefault="008574D5" w:rsidP="00B234BA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iCs/>
                <w:szCs w:val="22"/>
              </w:rPr>
            </w:pPr>
            <w:r w:rsidRPr="00410AFC">
              <w:rPr>
                <w:i/>
                <w:iCs/>
                <w:sz w:val="22"/>
                <w:szCs w:val="22"/>
              </w:rPr>
              <w:t>Article</w:t>
            </w:r>
          </w:p>
        </w:tc>
        <w:tc>
          <w:tcPr>
            <w:tcW w:w="4147" w:type="dxa"/>
            <w:vAlign w:val="center"/>
          </w:tcPr>
          <w:p w:rsidR="008574D5" w:rsidRPr="00410AFC" w:rsidRDefault="008574D5" w:rsidP="00B234BA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iCs/>
                <w:szCs w:val="22"/>
              </w:rPr>
            </w:pPr>
            <w:r w:rsidRPr="00410AFC">
              <w:rPr>
                <w:i/>
                <w:iCs/>
                <w:sz w:val="22"/>
                <w:szCs w:val="22"/>
              </w:rPr>
              <w:t>Désignation</w:t>
            </w:r>
          </w:p>
        </w:tc>
        <w:tc>
          <w:tcPr>
            <w:tcW w:w="1134" w:type="dxa"/>
            <w:vAlign w:val="center"/>
          </w:tcPr>
          <w:p w:rsidR="008574D5" w:rsidRPr="00410AFC" w:rsidRDefault="008574D5" w:rsidP="00B234BA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iCs/>
                <w:szCs w:val="22"/>
              </w:rPr>
            </w:pPr>
            <w:r w:rsidRPr="00410AFC">
              <w:rPr>
                <w:i/>
                <w:iCs/>
                <w:sz w:val="22"/>
                <w:szCs w:val="22"/>
              </w:rPr>
              <w:t>Quantité</w:t>
            </w:r>
          </w:p>
        </w:tc>
        <w:tc>
          <w:tcPr>
            <w:tcW w:w="1984" w:type="dxa"/>
            <w:vAlign w:val="center"/>
          </w:tcPr>
          <w:p w:rsidR="008574D5" w:rsidRPr="00410AFC" w:rsidRDefault="008574D5" w:rsidP="00B234BA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i/>
                <w:iCs/>
                <w:szCs w:val="22"/>
              </w:rPr>
            </w:pPr>
            <w:r w:rsidRPr="00410AFC">
              <w:rPr>
                <w:i/>
                <w:iCs/>
                <w:sz w:val="22"/>
                <w:szCs w:val="22"/>
              </w:rPr>
              <w:t>Montant de la caution provisoire [Dinars]</w:t>
            </w:r>
          </w:p>
        </w:tc>
      </w:tr>
      <w:tr w:rsidR="008574D5" w:rsidRPr="00C40526" w:rsidTr="00B234BA">
        <w:trPr>
          <w:jc w:val="center"/>
        </w:trPr>
        <w:tc>
          <w:tcPr>
            <w:tcW w:w="923" w:type="dxa"/>
          </w:tcPr>
          <w:p w:rsidR="008574D5" w:rsidRPr="00C40526" w:rsidRDefault="008574D5" w:rsidP="00B234BA">
            <w:pPr>
              <w:autoSpaceDE w:val="0"/>
              <w:autoSpaceDN w:val="0"/>
              <w:adjustRightInd w:val="0"/>
              <w:spacing w:before="60" w:after="60"/>
              <w:jc w:val="center"/>
              <w:outlineLvl w:val="0"/>
              <w:rPr>
                <w:b/>
                <w:bCs/>
                <w:i/>
                <w:iCs/>
                <w:color w:val="FF0000"/>
                <w:szCs w:val="22"/>
              </w:rPr>
            </w:pPr>
            <w:r w:rsidRPr="00F66152">
              <w:rPr>
                <w:i/>
                <w:iCs/>
                <w:szCs w:val="24"/>
              </w:rPr>
              <w:t>01</w:t>
            </w:r>
          </w:p>
        </w:tc>
        <w:tc>
          <w:tcPr>
            <w:tcW w:w="4147" w:type="dxa"/>
          </w:tcPr>
          <w:p w:rsidR="008574D5" w:rsidRDefault="008574D5" w:rsidP="00B234BA">
            <w:pPr>
              <w:autoSpaceDE w:val="0"/>
              <w:autoSpaceDN w:val="0"/>
              <w:adjustRightInd w:val="0"/>
              <w:rPr>
                <w:iCs/>
                <w:szCs w:val="24"/>
              </w:rPr>
            </w:pPr>
            <w:r w:rsidRPr="00410AFC">
              <w:rPr>
                <w:iCs/>
                <w:szCs w:val="24"/>
              </w:rPr>
              <w:t>PACK TABLEAU INTERACTIF ET ACCESSOIRES</w:t>
            </w:r>
          </w:p>
          <w:p w:rsidR="008574D5" w:rsidRPr="00410AFC" w:rsidRDefault="008574D5" w:rsidP="00B234BA">
            <w:pPr>
              <w:autoSpaceDE w:val="0"/>
              <w:autoSpaceDN w:val="0"/>
              <w:adjustRightInd w:val="0"/>
              <w:rPr>
                <w:iCs/>
                <w:sz w:val="4"/>
                <w:szCs w:val="4"/>
              </w:rPr>
            </w:pPr>
          </w:p>
        </w:tc>
        <w:tc>
          <w:tcPr>
            <w:tcW w:w="1134" w:type="dxa"/>
            <w:vAlign w:val="center"/>
          </w:tcPr>
          <w:p w:rsidR="008574D5" w:rsidRPr="00C40526" w:rsidRDefault="00530968" w:rsidP="00B234BA">
            <w:pPr>
              <w:autoSpaceDE w:val="0"/>
              <w:autoSpaceDN w:val="0"/>
              <w:adjustRightInd w:val="0"/>
              <w:spacing w:before="60" w:after="60"/>
              <w:jc w:val="center"/>
              <w:outlineLvl w:val="0"/>
              <w:rPr>
                <w:bCs/>
                <w:i/>
                <w:iCs/>
                <w:color w:val="FF0000"/>
                <w:szCs w:val="22"/>
              </w:rPr>
            </w:pPr>
            <w:r>
              <w:rPr>
                <w:i/>
                <w:iCs/>
                <w:szCs w:val="24"/>
              </w:rPr>
              <w:t>10</w:t>
            </w:r>
          </w:p>
        </w:tc>
        <w:tc>
          <w:tcPr>
            <w:tcW w:w="1984" w:type="dxa"/>
          </w:tcPr>
          <w:p w:rsidR="008574D5" w:rsidRPr="006B6A00" w:rsidRDefault="008574D5" w:rsidP="00B234BA">
            <w:pPr>
              <w:autoSpaceDE w:val="0"/>
              <w:autoSpaceDN w:val="0"/>
              <w:adjustRightInd w:val="0"/>
              <w:spacing w:before="60" w:after="60"/>
              <w:jc w:val="center"/>
              <w:outlineLvl w:val="0"/>
              <w:rPr>
                <w:bCs/>
                <w:i/>
                <w:iCs/>
                <w:szCs w:val="22"/>
              </w:rPr>
            </w:pPr>
            <w:r w:rsidRPr="006B6A00">
              <w:rPr>
                <w:bCs/>
                <w:i/>
                <w:iCs/>
                <w:sz w:val="22"/>
                <w:szCs w:val="22"/>
              </w:rPr>
              <w:t>1300 DT</w:t>
            </w:r>
          </w:p>
        </w:tc>
      </w:tr>
    </w:tbl>
    <w:p w:rsidR="008574D5" w:rsidRDefault="008574D5" w:rsidP="008574D5">
      <w:pPr>
        <w:spacing w:after="200"/>
        <w:jc w:val="both"/>
      </w:pPr>
    </w:p>
    <w:p w:rsidR="008574D5" w:rsidRPr="00782908" w:rsidRDefault="008574D5" w:rsidP="008574D5">
      <w:pPr>
        <w:spacing w:after="200"/>
        <w:jc w:val="both"/>
        <w:rPr>
          <w:sz w:val="20"/>
        </w:rPr>
      </w:pPr>
      <w:r>
        <w:t xml:space="preserve">3. </w:t>
      </w:r>
      <w:r w:rsidRPr="00782908">
        <w:rPr>
          <w:sz w:val="20"/>
        </w:rPr>
        <w:t>La passation du Marché sera conduite par Appel d’Offres National (AON) tel que définit dans les « </w:t>
      </w:r>
      <w:r w:rsidRPr="00782908">
        <w:rPr>
          <w:i/>
          <w:iCs/>
          <w:sz w:val="20"/>
        </w:rPr>
        <w:t>Directives : passation des marchés financés par les Prêts de la BIRD et les Crédits de l‘IDA ».</w:t>
      </w:r>
      <w:r w:rsidRPr="00782908">
        <w:rPr>
          <w:sz w:val="20"/>
        </w:rPr>
        <w:t xml:space="preserve"> </w:t>
      </w:r>
    </w:p>
    <w:p w:rsidR="008574D5" w:rsidRPr="00782908" w:rsidRDefault="001867B0" w:rsidP="001867B0">
      <w:pPr>
        <w:tabs>
          <w:tab w:val="left" w:pos="142"/>
        </w:tabs>
        <w:spacing w:after="200"/>
        <w:jc w:val="both"/>
        <w:rPr>
          <w:sz w:val="20"/>
        </w:rPr>
      </w:pPr>
      <w:r w:rsidRPr="001867B0">
        <w:rPr>
          <w:szCs w:val="24"/>
        </w:rPr>
        <w:t>4</w:t>
      </w:r>
      <w:r>
        <w:rPr>
          <w:sz w:val="20"/>
        </w:rPr>
        <w:t xml:space="preserve">. </w:t>
      </w:r>
      <w:r w:rsidR="008574D5" w:rsidRPr="00782908">
        <w:rPr>
          <w:sz w:val="20"/>
        </w:rPr>
        <w:t>Les soumissionnaires éligibles et intéressés peuvent obtenir des informations auprès</w:t>
      </w:r>
      <w:r w:rsidR="008574D5">
        <w:t xml:space="preserve"> </w:t>
      </w:r>
      <w:r w:rsidR="008574D5" w:rsidRPr="00782908">
        <w:rPr>
          <w:b/>
          <w:bCs/>
          <w:sz w:val="20"/>
        </w:rPr>
        <w:t>du Service Financier et D’achat de L’ISSAT</w:t>
      </w:r>
      <w:r w:rsidR="008574D5">
        <w:rPr>
          <w:b/>
          <w:bCs/>
          <w:sz w:val="20"/>
        </w:rPr>
        <w:t xml:space="preserve"> </w:t>
      </w:r>
      <w:r w:rsidR="008574D5" w:rsidRPr="00782908">
        <w:rPr>
          <w:b/>
          <w:bCs/>
          <w:sz w:val="20"/>
        </w:rPr>
        <w:t>G</w:t>
      </w:r>
      <w:r w:rsidR="008574D5">
        <w:rPr>
          <w:b/>
          <w:bCs/>
          <w:sz w:val="20"/>
        </w:rPr>
        <w:t>abès</w:t>
      </w:r>
      <w:r w:rsidR="008574D5" w:rsidRPr="00A56DDA">
        <w:rPr>
          <w:color w:val="FF0000"/>
        </w:rPr>
        <w:t xml:space="preserve"> </w:t>
      </w:r>
      <w:r w:rsidR="008574D5" w:rsidRPr="00782908">
        <w:rPr>
          <w:sz w:val="20"/>
        </w:rPr>
        <w:t>(Tél: 75 392 108 / 75 392 404 Fax: 75 392 390</w:t>
      </w:r>
      <w:r w:rsidR="008574D5" w:rsidRPr="00782908">
        <w:rPr>
          <w:color w:val="FF0000"/>
          <w:sz w:val="20"/>
        </w:rPr>
        <w:t xml:space="preserve"> </w:t>
      </w:r>
      <w:r w:rsidR="008574D5" w:rsidRPr="00782908">
        <w:rPr>
          <w:sz w:val="20"/>
        </w:rPr>
        <w:t xml:space="preserve">tous les jours ouvrables, entre 9 h et 13h du matin.), ou par e-mail, apurés du chef du Projet PAQ : </w:t>
      </w:r>
      <w:r w:rsidR="008574D5" w:rsidRPr="003F7C94">
        <w:rPr>
          <w:i/>
          <w:iCs/>
        </w:rPr>
        <w:t>Mr</w:t>
      </w:r>
      <w:r w:rsidR="008574D5">
        <w:t>.</w:t>
      </w:r>
      <w:r w:rsidR="008574D5" w:rsidRPr="00782908">
        <w:rPr>
          <w:sz w:val="20"/>
        </w:rPr>
        <w:t xml:space="preserve"> </w:t>
      </w:r>
      <w:r w:rsidR="008574D5">
        <w:rPr>
          <w:sz w:val="20"/>
        </w:rPr>
        <w:t>mohieddine2002@yaho.com</w:t>
      </w:r>
    </w:p>
    <w:p w:rsidR="008574D5" w:rsidRPr="00782908" w:rsidRDefault="001867B0" w:rsidP="001867B0">
      <w:pPr>
        <w:tabs>
          <w:tab w:val="left" w:pos="567"/>
        </w:tabs>
        <w:spacing w:after="200"/>
        <w:jc w:val="both"/>
        <w:rPr>
          <w:sz w:val="20"/>
        </w:rPr>
      </w:pPr>
      <w:r w:rsidRPr="001867B0">
        <w:rPr>
          <w:szCs w:val="24"/>
        </w:rPr>
        <w:t>5</w:t>
      </w:r>
      <w:r>
        <w:rPr>
          <w:sz w:val="20"/>
        </w:rPr>
        <w:t xml:space="preserve">. </w:t>
      </w:r>
      <w:r w:rsidR="008574D5" w:rsidRPr="00782908">
        <w:rPr>
          <w:sz w:val="20"/>
        </w:rPr>
        <w:t>Les soumissionnaires intéressés peuvent obtenir un Cahier des Charges complet en langue française, en se présentant au service financier et d’achat de L’ISSAT</w:t>
      </w:r>
      <w:r w:rsidR="008574D5">
        <w:rPr>
          <w:sz w:val="20"/>
        </w:rPr>
        <w:t xml:space="preserve"> Gabès</w:t>
      </w:r>
      <w:r w:rsidR="008574D5" w:rsidRPr="00782908">
        <w:rPr>
          <w:sz w:val="20"/>
        </w:rPr>
        <w:t>, contre le paiement de vingt dinars tunisiens (20 DT) non remboursable au compte courant postal n°</w:t>
      </w:r>
      <w:r w:rsidR="008574D5">
        <w:rPr>
          <w:sz w:val="20"/>
        </w:rPr>
        <w:t xml:space="preserve">17706000000006195087 </w:t>
      </w:r>
      <w:r w:rsidR="008574D5" w:rsidRPr="00782908">
        <w:rPr>
          <w:sz w:val="20"/>
        </w:rPr>
        <w:t xml:space="preserve">ouvert au nom de l’agent comptable de l’institut </w:t>
      </w:r>
      <w:r w:rsidR="008574D5" w:rsidRPr="00782908">
        <w:rPr>
          <w:i/>
          <w:iCs/>
          <w:sz w:val="20"/>
        </w:rPr>
        <w:t>Supérieur des Sciences Appliquées et de Technologie de Gabès</w:t>
      </w:r>
      <w:r w:rsidR="008574D5" w:rsidRPr="00782908">
        <w:rPr>
          <w:sz w:val="20"/>
        </w:rPr>
        <w:t xml:space="preserve">. </w:t>
      </w:r>
    </w:p>
    <w:p w:rsidR="008574D5" w:rsidRPr="00782908" w:rsidRDefault="001867B0" w:rsidP="001867B0">
      <w:pPr>
        <w:tabs>
          <w:tab w:val="right" w:pos="7254"/>
        </w:tabs>
        <w:spacing w:after="180"/>
        <w:rPr>
          <w:sz w:val="20"/>
        </w:rPr>
      </w:pPr>
      <w:r w:rsidRPr="001867B0">
        <w:rPr>
          <w:szCs w:val="24"/>
        </w:rPr>
        <w:lastRenderedPageBreak/>
        <w:t>6</w:t>
      </w:r>
      <w:r>
        <w:rPr>
          <w:sz w:val="20"/>
        </w:rPr>
        <w:t xml:space="preserve">. </w:t>
      </w:r>
      <w:r w:rsidR="008574D5" w:rsidRPr="00782908">
        <w:rPr>
          <w:sz w:val="20"/>
        </w:rPr>
        <w:t>Les offres devront être adressées par voie de Rapide-Poste, à l’adresse indiquée de L’ISSAT</w:t>
      </w:r>
      <w:r w:rsidR="008574D5">
        <w:rPr>
          <w:sz w:val="20"/>
        </w:rPr>
        <w:t xml:space="preserve"> Gabès</w:t>
      </w:r>
      <w:r w:rsidR="008574D5" w:rsidRPr="00782908">
        <w:rPr>
          <w:sz w:val="20"/>
        </w:rPr>
        <w:t>, ou remises directement au Bureau d’ordre, au plus tard le</w:t>
      </w:r>
      <w:r w:rsidR="008574D5" w:rsidRPr="005B71EA">
        <w:rPr>
          <w:szCs w:val="24"/>
        </w:rPr>
        <w:t xml:space="preserve"> </w:t>
      </w:r>
      <w:r w:rsidR="008574D5" w:rsidRPr="00782908">
        <w:rPr>
          <w:b/>
          <w:bCs/>
          <w:sz w:val="20"/>
        </w:rPr>
        <w:t>20/02/2014</w:t>
      </w:r>
      <w:r w:rsidR="008574D5" w:rsidRPr="00782908">
        <w:rPr>
          <w:sz w:val="20"/>
        </w:rPr>
        <w:t xml:space="preserve">, </w:t>
      </w:r>
      <w:r w:rsidR="008574D5" w:rsidRPr="00782908">
        <w:rPr>
          <w:b/>
          <w:bCs/>
          <w:sz w:val="20"/>
        </w:rPr>
        <w:t>à 9H00’</w:t>
      </w:r>
      <w:r w:rsidR="008574D5" w:rsidRPr="00782908">
        <w:rPr>
          <w:sz w:val="20"/>
        </w:rPr>
        <w:t>.</w:t>
      </w:r>
      <w:r w:rsidR="008574D5" w:rsidRPr="005B71EA">
        <w:rPr>
          <w:color w:val="FF6600"/>
          <w:szCs w:val="24"/>
        </w:rPr>
        <w:t xml:space="preserve"> </w:t>
      </w:r>
      <w:r w:rsidR="008574D5" w:rsidRPr="00782908">
        <w:rPr>
          <w:sz w:val="20"/>
        </w:rPr>
        <w:t>Toute offre adressée ou remise en retard ne sera pas acceptée:</w:t>
      </w:r>
    </w:p>
    <w:p w:rsidR="008574D5" w:rsidRPr="00782908" w:rsidRDefault="008574D5" w:rsidP="008574D5">
      <w:pPr>
        <w:jc w:val="center"/>
        <w:rPr>
          <w:i/>
          <w:iCs/>
          <w:sz w:val="20"/>
        </w:rPr>
      </w:pPr>
      <w:r w:rsidRPr="00782908">
        <w:rPr>
          <w:i/>
          <w:iCs/>
          <w:sz w:val="20"/>
        </w:rPr>
        <w:t xml:space="preserve">Institut Supérieur des Sciences Appliquées </w:t>
      </w:r>
    </w:p>
    <w:p w:rsidR="008574D5" w:rsidRPr="00782908" w:rsidRDefault="008574D5" w:rsidP="008574D5">
      <w:pPr>
        <w:jc w:val="center"/>
        <w:rPr>
          <w:i/>
          <w:iCs/>
          <w:sz w:val="20"/>
        </w:rPr>
      </w:pPr>
      <w:proofErr w:type="gramStart"/>
      <w:r w:rsidRPr="00782908">
        <w:rPr>
          <w:i/>
          <w:iCs/>
          <w:sz w:val="20"/>
        </w:rPr>
        <w:t>et</w:t>
      </w:r>
      <w:proofErr w:type="gramEnd"/>
      <w:r w:rsidRPr="00782908">
        <w:rPr>
          <w:i/>
          <w:iCs/>
          <w:sz w:val="20"/>
        </w:rPr>
        <w:t xml:space="preserve"> de Technologie de Gabès</w:t>
      </w:r>
    </w:p>
    <w:p w:rsidR="008574D5" w:rsidRPr="00782908" w:rsidRDefault="008574D5" w:rsidP="008574D5">
      <w:pPr>
        <w:tabs>
          <w:tab w:val="right" w:pos="7254"/>
        </w:tabs>
        <w:spacing w:after="200"/>
        <w:jc w:val="center"/>
        <w:rPr>
          <w:sz w:val="20"/>
        </w:rPr>
      </w:pPr>
      <w:r w:rsidRPr="00782908">
        <w:rPr>
          <w:sz w:val="20"/>
        </w:rPr>
        <w:t xml:space="preserve">Rue </w:t>
      </w:r>
      <w:r w:rsidRPr="00782908">
        <w:rPr>
          <w:i/>
          <w:iCs/>
          <w:sz w:val="20"/>
        </w:rPr>
        <w:t xml:space="preserve">Omar Ibn </w:t>
      </w:r>
      <w:proofErr w:type="spellStart"/>
      <w:r w:rsidRPr="00782908">
        <w:rPr>
          <w:i/>
          <w:iCs/>
          <w:sz w:val="20"/>
        </w:rPr>
        <w:t>Elkhattab</w:t>
      </w:r>
      <w:proofErr w:type="spellEnd"/>
      <w:r w:rsidRPr="00782908">
        <w:rPr>
          <w:i/>
          <w:iCs/>
          <w:sz w:val="20"/>
        </w:rPr>
        <w:t>-6072 Gabès</w:t>
      </w:r>
    </w:p>
    <w:p w:rsidR="008574D5" w:rsidRPr="00782908" w:rsidRDefault="008574D5" w:rsidP="008574D5">
      <w:pPr>
        <w:tabs>
          <w:tab w:val="left" w:pos="567"/>
        </w:tabs>
        <w:spacing w:after="200"/>
        <w:rPr>
          <w:sz w:val="20"/>
        </w:rPr>
      </w:pPr>
      <w:r w:rsidRPr="00782908">
        <w:rPr>
          <w:sz w:val="20"/>
        </w:rPr>
        <w:t xml:space="preserve">Les offres seront ouvertes le </w:t>
      </w:r>
      <w:r w:rsidRPr="002E0AA3">
        <w:rPr>
          <w:b/>
          <w:bCs/>
          <w:sz w:val="20"/>
        </w:rPr>
        <w:t>20/02/2014</w:t>
      </w:r>
      <w:r w:rsidRPr="00782908">
        <w:rPr>
          <w:sz w:val="20"/>
        </w:rPr>
        <w:t xml:space="preserve"> à</w:t>
      </w:r>
      <w:r>
        <w:t xml:space="preserve"> </w:t>
      </w:r>
      <w:r>
        <w:rPr>
          <w:b/>
          <w:bCs/>
          <w:sz w:val="20"/>
        </w:rPr>
        <w:t>10</w:t>
      </w:r>
      <w:r w:rsidRPr="00782908">
        <w:rPr>
          <w:b/>
          <w:bCs/>
          <w:sz w:val="20"/>
        </w:rPr>
        <w:t>H00’</w:t>
      </w:r>
      <w:r>
        <w:rPr>
          <w:b/>
          <w:bCs/>
          <w:szCs w:val="24"/>
        </w:rPr>
        <w:t xml:space="preserve"> </w:t>
      </w:r>
      <w:r w:rsidRPr="00782908">
        <w:rPr>
          <w:sz w:val="20"/>
        </w:rPr>
        <w:t xml:space="preserve">en présence des représentants des soumissionnaires présents en personne à la salle de réunion de l’institut </w:t>
      </w:r>
      <w:r w:rsidRPr="00782908">
        <w:rPr>
          <w:i/>
          <w:iCs/>
          <w:sz w:val="20"/>
        </w:rPr>
        <w:t>Supérieur des Sciences Appliquées et de Technologie de Gabès</w:t>
      </w:r>
      <w:r w:rsidRPr="00782908">
        <w:rPr>
          <w:sz w:val="20"/>
        </w:rPr>
        <w:t xml:space="preserve">. </w:t>
      </w:r>
    </w:p>
    <w:p w:rsidR="008574D5" w:rsidRPr="00782908" w:rsidRDefault="001867B0" w:rsidP="001867B0">
      <w:pPr>
        <w:spacing w:after="200"/>
        <w:jc w:val="both"/>
        <w:rPr>
          <w:sz w:val="20"/>
        </w:rPr>
      </w:pPr>
      <w:r w:rsidRPr="001867B0">
        <w:rPr>
          <w:szCs w:val="24"/>
        </w:rPr>
        <w:t>7</w:t>
      </w:r>
      <w:r>
        <w:rPr>
          <w:sz w:val="20"/>
        </w:rPr>
        <w:t xml:space="preserve">. </w:t>
      </w:r>
      <w:r w:rsidR="008574D5" w:rsidRPr="00782908">
        <w:rPr>
          <w:sz w:val="20"/>
        </w:rPr>
        <w:t>Les offres doivent comprendre un cautionnement provisoire pour un montant par article mentionné dans le tableau ci-dessus.</w:t>
      </w:r>
      <w:r w:rsidR="008574D5" w:rsidRPr="00782908">
        <w:rPr>
          <w:i/>
          <w:iCs/>
          <w:sz w:val="20"/>
        </w:rPr>
        <w:t xml:space="preserve"> </w:t>
      </w:r>
    </w:p>
    <w:p w:rsidR="008574D5" w:rsidRDefault="008574D5" w:rsidP="008574D5"/>
    <w:p w:rsidR="008574D5" w:rsidRPr="009E3202" w:rsidRDefault="008574D5" w:rsidP="008574D5">
      <w:pPr>
        <w:pStyle w:val="Titre"/>
        <w:adjustRightInd w:val="0"/>
        <w:rPr>
          <w:lang w:val="fr-FR"/>
        </w:rPr>
      </w:pPr>
    </w:p>
    <w:p w:rsidR="00253D3E" w:rsidRDefault="00253D3E"/>
    <w:sectPr w:rsidR="00253D3E" w:rsidSect="001867B0">
      <w:headerReference w:type="even" r:id="rId7"/>
      <w:headerReference w:type="default" r:id="rId8"/>
      <w:endnotePr>
        <w:numFmt w:val="decimal"/>
        <w:numRestart w:val="eachSect"/>
      </w:endnotePr>
      <w:pgSz w:w="12240" w:h="15840" w:code="1"/>
      <w:pgMar w:top="709" w:right="1417" w:bottom="993" w:left="1417" w:header="426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15E" w:rsidRDefault="0043215E" w:rsidP="008574D5">
      <w:r>
        <w:separator/>
      </w:r>
    </w:p>
  </w:endnote>
  <w:endnote w:type="continuationSeparator" w:id="1">
    <w:p w:rsidR="0043215E" w:rsidRDefault="0043215E" w:rsidP="00857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15E" w:rsidRDefault="0043215E" w:rsidP="008574D5">
      <w:r>
        <w:separator/>
      </w:r>
    </w:p>
  </w:footnote>
  <w:footnote w:type="continuationSeparator" w:id="1">
    <w:p w:rsidR="0043215E" w:rsidRDefault="0043215E" w:rsidP="008574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1D0" w:rsidRDefault="008A1A07" w:rsidP="00AB0EE4">
    <w:pPr>
      <w:pStyle w:val="En-tte"/>
      <w:rPr>
        <w:rStyle w:val="Numrodepage"/>
      </w:rPr>
    </w:pPr>
    <w:proofErr w:type="spellStart"/>
    <w:r>
      <w:t>Annexe</w:t>
    </w:r>
    <w:proofErr w:type="spellEnd"/>
    <w:r>
      <w:t xml:space="preserve">. Avis </w:t>
    </w:r>
    <w:proofErr w:type="spellStart"/>
    <w:r>
      <w:t>d’Appel</w:t>
    </w:r>
    <w:proofErr w:type="spellEnd"/>
    <w:r>
      <w:t xml:space="preserve"> </w:t>
    </w:r>
    <w:proofErr w:type="spellStart"/>
    <w:r>
      <w:t>d’offres</w:t>
    </w:r>
    <w:proofErr w:type="spellEnd"/>
    <w:r>
      <w:t xml:space="preserve">                                                                                                                      </w:t>
    </w:r>
    <w:r w:rsidR="00B21AC7"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 w:rsidR="00B21AC7">
      <w:rPr>
        <w:rStyle w:val="Numrodepage"/>
      </w:rPr>
      <w:fldChar w:fldCharType="separate"/>
    </w:r>
    <w:r>
      <w:rPr>
        <w:rStyle w:val="Numrodepage"/>
        <w:noProof/>
      </w:rPr>
      <w:t>106</w:t>
    </w:r>
    <w:r w:rsidR="00B21AC7">
      <w:rPr>
        <w:rStyle w:val="Numrodepage"/>
      </w:rPr>
      <w:fldChar w:fldCharType="end"/>
    </w:r>
  </w:p>
  <w:p w:rsidR="00B431D0" w:rsidRDefault="003D4025" w:rsidP="00AB0EE4">
    <w:pPr>
      <w:pStyle w:val="En-tte"/>
      <w:pBdr>
        <w:bottom w:val="none" w:sz="0" w:space="0" w:color="auto"/>
      </w:pBdr>
      <w:tabs>
        <w:tab w:val="clear" w:pos="9000"/>
        <w:tab w:val="right" w:pos="8931"/>
      </w:tabs>
      <w:ind w:right="-19" w:firstLine="3261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1D0" w:rsidRDefault="003D4025" w:rsidP="008574D5">
    <w:pPr>
      <w:pStyle w:val="En-tte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911B6"/>
    <w:multiLevelType w:val="hybridMultilevel"/>
    <w:tmpl w:val="3C90F0D2"/>
    <w:lvl w:ilvl="0" w:tplc="56766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numFmt w:val="decimal"/>
    <w:numRestart w:val="eachSect"/>
    <w:endnote w:id="0"/>
    <w:endnote w:id="1"/>
  </w:endnotePr>
  <w:compat/>
  <w:rsids>
    <w:rsidRoot w:val="008574D5"/>
    <w:rsid w:val="001867B0"/>
    <w:rsid w:val="00253D3E"/>
    <w:rsid w:val="003D4025"/>
    <w:rsid w:val="0043215E"/>
    <w:rsid w:val="004E510E"/>
    <w:rsid w:val="00530968"/>
    <w:rsid w:val="00595E94"/>
    <w:rsid w:val="005F67DF"/>
    <w:rsid w:val="007C4330"/>
    <w:rsid w:val="008574D5"/>
    <w:rsid w:val="008A1A07"/>
    <w:rsid w:val="008A3367"/>
    <w:rsid w:val="009C49F1"/>
    <w:rsid w:val="00B21AC7"/>
    <w:rsid w:val="00BF244F"/>
    <w:rsid w:val="00D129B0"/>
    <w:rsid w:val="00DE23D1"/>
    <w:rsid w:val="00E7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8574D5"/>
    <w:pPr>
      <w:jc w:val="center"/>
    </w:pPr>
    <w:rPr>
      <w:b/>
      <w:sz w:val="48"/>
      <w:lang w:val="es-ES_tradnl"/>
    </w:rPr>
  </w:style>
  <w:style w:type="character" w:customStyle="1" w:styleId="TitreCar">
    <w:name w:val="Titre Car"/>
    <w:basedOn w:val="Policepardfaut"/>
    <w:link w:val="Titre"/>
    <w:rsid w:val="008574D5"/>
    <w:rPr>
      <w:rFonts w:ascii="Times New Roman" w:eastAsia="Times New Roman" w:hAnsi="Times New Roman" w:cs="Times New Roman"/>
      <w:b/>
      <w:sz w:val="48"/>
      <w:szCs w:val="20"/>
      <w:lang w:val="es-ES_tradnl" w:eastAsia="fr-FR"/>
    </w:rPr>
  </w:style>
  <w:style w:type="paragraph" w:styleId="En-tte">
    <w:name w:val="header"/>
    <w:basedOn w:val="Normal"/>
    <w:link w:val="En-tteCar"/>
    <w:uiPriority w:val="99"/>
    <w:rsid w:val="008574D5"/>
    <w:pPr>
      <w:pBdr>
        <w:bottom w:val="single" w:sz="4" w:space="1" w:color="000000"/>
      </w:pBdr>
      <w:tabs>
        <w:tab w:val="right" w:pos="9000"/>
      </w:tabs>
      <w:jc w:val="both"/>
    </w:pPr>
    <w:rPr>
      <w:sz w:val="20"/>
      <w:lang w:val="es-ES_tradnl"/>
    </w:rPr>
  </w:style>
  <w:style w:type="character" w:customStyle="1" w:styleId="En-tteCar">
    <w:name w:val="En-tête Car"/>
    <w:basedOn w:val="Policepardfaut"/>
    <w:link w:val="En-tte"/>
    <w:uiPriority w:val="99"/>
    <w:rsid w:val="008574D5"/>
    <w:rPr>
      <w:rFonts w:ascii="Times New Roman" w:eastAsia="Times New Roman" w:hAnsi="Times New Roman" w:cs="Times New Roman"/>
      <w:sz w:val="20"/>
      <w:szCs w:val="20"/>
      <w:lang w:val="es-ES_tradnl" w:eastAsia="fr-FR"/>
    </w:rPr>
  </w:style>
  <w:style w:type="character" w:styleId="Numrodepage">
    <w:name w:val="page number"/>
    <w:basedOn w:val="Policepardfaut"/>
    <w:rsid w:val="008574D5"/>
  </w:style>
  <w:style w:type="paragraph" w:styleId="Pieddepage">
    <w:name w:val="footer"/>
    <w:basedOn w:val="Normal"/>
    <w:link w:val="PieddepageCar"/>
    <w:uiPriority w:val="99"/>
    <w:semiHidden/>
    <w:unhideWhenUsed/>
    <w:rsid w:val="008574D5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574D5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74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74D5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1867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516</Words>
  <Characters>2838</Characters>
  <Application>Microsoft Office Word</Application>
  <DocSecurity>0</DocSecurity>
  <Lines>23</Lines>
  <Paragraphs>6</Paragraphs>
  <ScaleCrop>false</ScaleCrop>
  <Company>ISSATGB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Application</dc:creator>
  <cp:keywords/>
  <dc:description/>
  <cp:lastModifiedBy>Application</cp:lastModifiedBy>
  <cp:revision>9</cp:revision>
  <dcterms:created xsi:type="dcterms:W3CDTF">2014-01-29T10:58:00Z</dcterms:created>
  <dcterms:modified xsi:type="dcterms:W3CDTF">2014-01-31T07:22:00Z</dcterms:modified>
</cp:coreProperties>
</file>