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40" w:rsidRDefault="0085375C" w:rsidP="002B5240">
      <w:pPr>
        <w:tabs>
          <w:tab w:val="left" w:pos="2767"/>
        </w:tabs>
        <w:bidi/>
        <w:jc w:val="center"/>
        <w:rPr>
          <w:rFonts w:ascii="Traditional Arabic" w:hAnsi="Traditional Arabic" w:cs="Traditional Arabic"/>
          <w:sz w:val="72"/>
          <w:szCs w:val="72"/>
          <w:rtl/>
        </w:rPr>
      </w:pPr>
      <w:r>
        <w:rPr>
          <w:rFonts w:ascii="Traditional Arabic" w:hAnsi="Traditional Arabic" w:cs="Traditional Arabic"/>
          <w:noProof/>
          <w:sz w:val="72"/>
          <w:szCs w:val="72"/>
          <w:rtl/>
          <w:lang w:eastAsia="fr-FR"/>
        </w:rPr>
        <w:pict>
          <v:group id="_x0000_s1026" style="position:absolute;left:0;text-align:left;margin-left:-43.5pt;margin-top:-67.05pt;width:719.1pt;height:137.25pt;z-index:251658240" coordorigin="856,720" coordsize="10004,2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34;top:2269;width:3426;height:638" filled="f" stroked="f">
              <v:textbox style="mso-next-textbox:#_x0000_s1027">
                <w:txbxContent>
                  <w:p w:rsidR="002B5240" w:rsidRPr="00E16FD5" w:rsidRDefault="002B5240" w:rsidP="002B5240">
                    <w:pPr>
                      <w:pStyle w:val="En-tte"/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</w:pPr>
                    <w:r w:rsidRPr="00E16FD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جـامعة قـابس</w:t>
                    </w:r>
                  </w:p>
                  <w:p w:rsidR="002B5240" w:rsidRPr="00540C53" w:rsidRDefault="002B5240" w:rsidP="002B5240">
                    <w:pPr>
                      <w:pStyle w:val="En-tte"/>
                      <w:rPr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          </w:t>
                    </w:r>
                    <w:r w:rsidRPr="009A112C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   </w:t>
                    </w:r>
                    <w:r w:rsidRPr="00540C5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 xml:space="preserve">المعهد العالي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للعلوم التطبيقية و التكنولوجيا بقابس</w:t>
                    </w:r>
                  </w:p>
                  <w:p w:rsidR="002B5240" w:rsidRPr="002F0F6E" w:rsidRDefault="002B5240" w:rsidP="002B5240">
                    <w:pPr>
                      <w:pStyle w:val="En-tte"/>
                      <w:jc w:val="center"/>
                      <w:rPr>
                        <w:sz w:val="28"/>
                        <w:szCs w:val="28"/>
                        <w:rtl/>
                        <w:lang w:bidi="ar-TN"/>
                      </w:rPr>
                    </w:pPr>
                  </w:p>
                  <w:p w:rsidR="002B5240" w:rsidRDefault="002B5240" w:rsidP="002B5240">
                    <w:pPr>
                      <w:jc w:val="center"/>
                      <w:rPr>
                        <w:rFonts w:ascii="Calibri" w:eastAsia="Calibri" w:hAnsi="Calibri" w:cs="Arial"/>
                        <w:lang w:bidi="ar-TN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6;top:720;width:9660;height:1635">
              <v:imagedata r:id="rId8" o:title="entete_ministere"/>
            </v:shape>
          </v:group>
        </w:pict>
      </w:r>
    </w:p>
    <w:p w:rsidR="007803D1" w:rsidRPr="007803D1" w:rsidRDefault="002B5240" w:rsidP="007803D1">
      <w:pPr>
        <w:tabs>
          <w:tab w:val="left" w:pos="2767"/>
        </w:tabs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TN"/>
        </w:rPr>
      </w:pPr>
      <w:r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8C1D5D" w:rsidRPr="007803D1">
        <w:rPr>
          <w:rFonts w:ascii="Traditional Arabic" w:hAnsi="Traditional Arabic" w:cs="Traditional Arabic"/>
          <w:b/>
          <w:bCs/>
          <w:sz w:val="48"/>
          <w:szCs w:val="48"/>
          <w:rtl/>
        </w:rPr>
        <w:t>بلاغ</w:t>
      </w:r>
      <w:r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إلى الطلبة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المعني</w:t>
      </w:r>
      <w:r w:rsid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ين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بتعمير بطاقة الخيارات</w:t>
      </w:r>
    </w:p>
    <w:p w:rsidR="00953C8A" w:rsidRPr="00BD4FC0" w:rsidRDefault="008C1D5D" w:rsidP="00BD4FC0">
      <w:pPr>
        <w:tabs>
          <w:tab w:val="left" w:pos="2767"/>
        </w:tabs>
        <w:bidi/>
        <w:spacing w:after="0" w:line="360" w:lineRule="auto"/>
        <w:ind w:firstLine="709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D4FC0">
        <w:rPr>
          <w:rFonts w:ascii="Traditional Arabic" w:hAnsi="Traditional Arabic" w:cs="Traditional Arabic"/>
          <w:b/>
          <w:bCs/>
          <w:sz w:val="34"/>
          <w:szCs w:val="34"/>
          <w:rtl/>
        </w:rPr>
        <w:t>على الطلبة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الناجحون في السنة الأولى اختصاص</w:t>
      </w:r>
      <w:r w:rsidR="007803D1" w:rsidRPr="00BD4FC0">
        <w:rPr>
          <w:rFonts w:ascii="Traditional Arabic" w:hAnsi="Traditional Arabic" w:cs="Traditional Arabic"/>
          <w:b/>
          <w:bCs/>
          <w:sz w:val="34"/>
          <w:szCs w:val="34"/>
        </w:rPr>
        <w:t> » 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هندسة أساليب صناعية </w:t>
      </w:r>
      <w:r w:rsidR="00CC4C7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1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« </w:t>
      </w:r>
      <w:r w:rsidR="007803D1" w:rsidRPr="00BD4FC0">
        <w:rPr>
          <w:rFonts w:ascii="Traditional Arabic" w:hAnsi="Traditional Arabic" w:cs="Traditional Arabic"/>
          <w:b/>
          <w:bCs/>
          <w:sz w:val="34"/>
          <w:szCs w:val="34"/>
        </w:rPr>
        <w:t>IPI 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 الطلبة الناجحون في السنة الأولى اختصاص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 xml:space="preserve">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lang w:bidi="ar-TN"/>
        </w:rPr>
        <w:t xml:space="preserve">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هندسة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  <w:lang w:bidi="ar-TN"/>
        </w:rPr>
        <w:t> 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ميكانيكية</w:t>
      </w:r>
      <w:r w:rsidR="007803D1" w:rsidRPr="00BD4FC0">
        <w:rPr>
          <w:rFonts w:ascii="Traditional Arabic" w:hAnsi="Traditional Arabic" w:cs="Traditional Arabic"/>
          <w:b/>
          <w:bCs/>
          <w:sz w:val="34"/>
          <w:szCs w:val="34"/>
        </w:rPr>
        <w:t>GM 1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الطلبة الناجحون في السنة الأولى اختصاص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 xml:space="preserve">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lang w:bidi="ar-TN"/>
        </w:rPr>
        <w:t xml:space="preserve">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هندسة</w:t>
      </w:r>
      <w:r w:rsidR="009703C7" w:rsidRPr="00BD4FC0">
        <w:rPr>
          <w:rFonts w:ascii="Traditional Arabic" w:hAnsi="Traditional Arabic" w:cs="Traditional Arabic"/>
          <w:b/>
          <w:bCs/>
          <w:sz w:val="34"/>
          <w:szCs w:val="34"/>
          <w:lang w:bidi="ar-TN"/>
        </w:rPr>
        <w:t> 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مدنية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703C7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GCV 1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TN"/>
        </w:rPr>
        <w:t>و ال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طلبة الناجحون في 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السنة الثانية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اختصاص </w:t>
      </w:r>
      <w:r w:rsidR="007803D1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الكتروميكانيك 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>GEM 2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أن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ه قد تم التمديد في الآجال و قد حدد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آخر أجل لتعمير بطاقة الخيارات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(</w:t>
      </w:r>
      <w:r w:rsidR="000304C9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Fiche de choix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) </w:t>
      </w:r>
      <w:r w:rsidR="00953C8A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</w:t>
      </w:r>
      <w:r w:rsidR="00B15A01" w:rsidRPr="00BD4FC0">
        <w:rPr>
          <w:rFonts w:ascii="Traditional Arabic" w:hAnsi="Traditional Arabic" w:cs="Traditional Arabic"/>
          <w:b/>
          <w:bCs/>
          <w:sz w:val="34"/>
          <w:szCs w:val="34"/>
        </w:rPr>
        <w:t xml:space="preserve"> </w:t>
      </w:r>
      <w:r w:rsidR="00953C8A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إرجاعها إلى مصلحة الدراسة 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يوم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الجمعة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25</w:t>
      </w:r>
      <w:r w:rsidR="000304C9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53C8A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سبتمبر 2020</w:t>
      </w:r>
      <w:r w:rsidR="009703C7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على الساعة منتصف النهار</w:t>
      </w:r>
      <w:r w:rsidR="00953C8A" w:rsidRPr="00BD4FC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BD4FC0" w:rsidRPr="00BC2494" w:rsidRDefault="009703C7" w:rsidP="00BC2494">
      <w:pPr>
        <w:tabs>
          <w:tab w:val="left" w:pos="2767"/>
        </w:tabs>
        <w:bidi/>
        <w:spacing w:after="0" w:line="360" w:lineRule="auto"/>
        <w:ind w:firstLine="709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كل طالب لا يرجع بطاقة الخيارات في الآجال سيقع توجيهه من قبل رئيس القسم مع العلم أن عملية التوجيه ستتم وفق مقياس التفوق (حسب معدل السنة الأ</w:t>
      </w:r>
      <w:r w:rsidR="00BD4FC0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ولى بالنسبة للناجحين في السنة الأولى المعنيين بعملية التوجيه في السنة الثانية</w:t>
      </w:r>
      <w:r w:rsidR="00BC2494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و</w:t>
      </w:r>
      <w:r w:rsidR="00BD4FC0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الطلبة </w:t>
      </w:r>
      <w:r w:rsidR="00BC2494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الناجحون</w:t>
      </w:r>
      <w:r w:rsidR="00BD4FC0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BC2494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في</w:t>
      </w:r>
      <w:r w:rsidR="00BD4FC0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السنة</w:t>
      </w:r>
      <w:r w:rsidR="00BC2494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ثانية</w:t>
      </w:r>
      <w:r w:rsidR="00BD4FC0" w:rsidRPr="00BC249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الكتروميكانيك.</w:t>
      </w:r>
    </w:p>
    <w:p w:rsidR="00BD4FC0" w:rsidRPr="00953C8A" w:rsidRDefault="00BD4FC0" w:rsidP="00BD4FC0">
      <w:pPr>
        <w:tabs>
          <w:tab w:val="left" w:pos="5035"/>
        </w:tabs>
        <w:bidi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ab/>
      </w:r>
      <w:r>
        <w:rPr>
          <w:rFonts w:ascii="Traditional Arabic" w:hAnsi="Traditional Arabic" w:cs="Traditional Arabic"/>
          <w:b/>
          <w:bCs/>
          <w:sz w:val="52"/>
          <w:szCs w:val="52"/>
          <w:rtl/>
        </w:rPr>
        <w:tab/>
      </w:r>
      <w:r>
        <w:rPr>
          <w:rFonts w:ascii="Traditional Arabic" w:hAnsi="Traditional Arabic" w:cs="Traditional Arabic"/>
          <w:b/>
          <w:bCs/>
          <w:sz w:val="52"/>
          <w:szCs w:val="52"/>
          <w:rtl/>
        </w:rPr>
        <w:tab/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                       </w:t>
      </w:r>
      <w:r w:rsidRPr="00953C8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الإدارة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  </w:t>
      </w:r>
    </w:p>
    <w:sectPr w:rsidR="00BD4FC0" w:rsidRPr="00953C8A" w:rsidSect="00BD4FC0">
      <w:pgSz w:w="16838" w:h="11906" w:orient="landscape"/>
      <w:pgMar w:top="1417" w:right="1417" w:bottom="1417" w:left="1417" w:header="90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85" w:rsidRDefault="00A50685" w:rsidP="00BD4FC0">
      <w:pPr>
        <w:spacing w:after="0" w:line="240" w:lineRule="auto"/>
      </w:pPr>
      <w:r>
        <w:separator/>
      </w:r>
    </w:p>
  </w:endnote>
  <w:endnote w:type="continuationSeparator" w:id="1">
    <w:p w:rsidR="00A50685" w:rsidRDefault="00A50685" w:rsidP="00BD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85" w:rsidRDefault="00A50685" w:rsidP="00BD4FC0">
      <w:pPr>
        <w:spacing w:after="0" w:line="240" w:lineRule="auto"/>
      </w:pPr>
      <w:r>
        <w:separator/>
      </w:r>
    </w:p>
  </w:footnote>
  <w:footnote w:type="continuationSeparator" w:id="1">
    <w:p w:rsidR="00A50685" w:rsidRDefault="00A50685" w:rsidP="00BD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E37"/>
    <w:multiLevelType w:val="hybridMultilevel"/>
    <w:tmpl w:val="993AB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D5D"/>
    <w:rsid w:val="000304C9"/>
    <w:rsid w:val="001A1350"/>
    <w:rsid w:val="00295B98"/>
    <w:rsid w:val="002B5240"/>
    <w:rsid w:val="002C4766"/>
    <w:rsid w:val="00763888"/>
    <w:rsid w:val="007803D1"/>
    <w:rsid w:val="0085375C"/>
    <w:rsid w:val="008C1D5D"/>
    <w:rsid w:val="0094165D"/>
    <w:rsid w:val="009527FF"/>
    <w:rsid w:val="00953C8A"/>
    <w:rsid w:val="009703C7"/>
    <w:rsid w:val="009770F9"/>
    <w:rsid w:val="00A50685"/>
    <w:rsid w:val="00B15A01"/>
    <w:rsid w:val="00B20DD1"/>
    <w:rsid w:val="00BC2494"/>
    <w:rsid w:val="00BD4FC0"/>
    <w:rsid w:val="00CC4C73"/>
    <w:rsid w:val="00D7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240"/>
    <w:pPr>
      <w:ind w:left="720"/>
      <w:contextualSpacing/>
    </w:pPr>
  </w:style>
  <w:style w:type="paragraph" w:styleId="En-tte">
    <w:name w:val="header"/>
    <w:basedOn w:val="Normal"/>
    <w:link w:val="En-tteCar"/>
    <w:rsid w:val="002B524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character" w:customStyle="1" w:styleId="En-tteCar">
    <w:name w:val="En-tête Car"/>
    <w:basedOn w:val="Policepardfaut"/>
    <w:link w:val="En-tte"/>
    <w:rsid w:val="002B5240"/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D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4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76E-C018-47F7-85A4-42514EDB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aloui layth</dc:creator>
  <cp:lastModifiedBy>aloui layth</cp:lastModifiedBy>
  <cp:revision>10</cp:revision>
  <cp:lastPrinted>2020-09-29T18:04:00Z</cp:lastPrinted>
  <dcterms:created xsi:type="dcterms:W3CDTF">2019-09-19T23:28:00Z</dcterms:created>
  <dcterms:modified xsi:type="dcterms:W3CDTF">2020-09-29T21:16:00Z</dcterms:modified>
</cp:coreProperties>
</file>